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A546" w14:textId="342BD82D" w:rsidR="00A0792F" w:rsidRPr="00622660" w:rsidRDefault="00A033EE" w:rsidP="00622660">
      <w:pPr>
        <w:pStyle w:val="Picturecaption4"/>
        <w:shd w:val="clear" w:color="auto" w:fill="auto"/>
        <w:spacing w:after="240" w:line="460" w:lineRule="exact"/>
        <w:jc w:val="center"/>
        <w:rPr>
          <w:rFonts w:ascii="Arial" w:hAnsi="Arial" w:cs="Arial"/>
          <w:color w:val="365F91" w:themeColor="accent1" w:themeShade="BF"/>
          <w:kern w:val="2"/>
          <w:sz w:val="34"/>
          <w:szCs w:val="34"/>
          <w14:ligatures w14:val="standardContextual"/>
        </w:rPr>
      </w:pPr>
      <w:r w:rsidRPr="00622660">
        <w:rPr>
          <w:rFonts w:ascii="Arial" w:hAnsi="Arial" w:cs="Arial"/>
          <w:noProof/>
          <w:color w:val="365F91" w:themeColor="accent1" w:themeShade="BF"/>
        </w:rPr>
        <w:drawing>
          <wp:anchor distT="0" distB="0" distL="114300" distR="114300" simplePos="0" relativeHeight="251660288" behindDoc="1" locked="0" layoutInCell="1" allowOverlap="1" wp14:anchorId="58CC3127" wp14:editId="63C2BF75">
            <wp:simplePos x="0" y="0"/>
            <wp:positionH relativeFrom="column">
              <wp:posOffset>-287020</wp:posOffset>
            </wp:positionH>
            <wp:positionV relativeFrom="paragraph">
              <wp:posOffset>18945</wp:posOffset>
            </wp:positionV>
            <wp:extent cx="6838043" cy="1673225"/>
            <wp:effectExtent l="0" t="0" r="1270" b="3175"/>
            <wp:wrapTight wrapText="bothSides">
              <wp:wrapPolygon edited="0">
                <wp:start x="0" y="0"/>
                <wp:lineTo x="0" y="21395"/>
                <wp:lineTo x="21544" y="21395"/>
                <wp:lineTo x="21544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" r="516"/>
                    <a:stretch/>
                  </pic:blipFill>
                  <pic:spPr bwMode="auto">
                    <a:xfrm>
                      <a:off x="0" y="0"/>
                      <a:ext cx="6838043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24D" w:rsidRPr="00622660">
        <w:rPr>
          <w:rFonts w:ascii="Arial" w:hAnsi="Arial" w:cs="Arial"/>
          <w:color w:val="365F91" w:themeColor="accent1" w:themeShade="BF"/>
          <w:kern w:val="2"/>
          <w:sz w:val="34"/>
          <w:szCs w:val="34"/>
          <w14:ligatures w14:val="standardContextual"/>
        </w:rPr>
        <w:t>ENERGY MANAGEMENT POLICY</w:t>
      </w:r>
    </w:p>
    <w:p w14:paraId="5FDF351B" w14:textId="75C2EECE" w:rsidR="001E1919" w:rsidRPr="00622660" w:rsidRDefault="001E1919" w:rsidP="00851639">
      <w:pPr>
        <w:spacing w:after="120" w:line="254" w:lineRule="exact"/>
        <w:jc w:val="both"/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</w:pPr>
      <w:r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 xml:space="preserve">CROSCO, Integrated Drilling &amp; Well Services Company, Ltd. (hereinafter </w:t>
      </w:r>
      <w:r w:rsidR="00622660"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>referred</w:t>
      </w:r>
      <w:r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 xml:space="preserve"> to as the Company) is a leading company in the business of providing drilling, workover and well services in Croatia. As service activities in the exploration and production of oil, gas and water are extremely energy-intensive processes, our fundamental commitment is corporate social responsibility through </w:t>
      </w:r>
      <w:r w:rsidR="00622660"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>educement</w:t>
      </w:r>
      <w:r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 xml:space="preserve"> of the impact on the environment and continuous improvement of energy management system.</w:t>
      </w:r>
    </w:p>
    <w:p w14:paraId="11052F58" w14:textId="77777777" w:rsidR="001E1919" w:rsidRPr="00622660" w:rsidRDefault="001E1919" w:rsidP="00851639">
      <w:pPr>
        <w:spacing w:after="120" w:line="254" w:lineRule="exact"/>
        <w:jc w:val="both"/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</w:pPr>
      <w:r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>Responsible use of energy and continuous monitoring and improvement of the energy performance are the key role in the business and management of our processes:</w:t>
      </w:r>
    </w:p>
    <w:p w14:paraId="0C2A6E88" w14:textId="77777777" w:rsidR="001E1919" w:rsidRPr="00622660" w:rsidRDefault="001E1919" w:rsidP="00606FB7">
      <w:pPr>
        <w:pStyle w:val="ListParagraph"/>
        <w:numPr>
          <w:ilvl w:val="0"/>
          <w:numId w:val="10"/>
        </w:numPr>
        <w:spacing w:after="120" w:line="254" w:lineRule="exact"/>
        <w:jc w:val="both"/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</w:pPr>
      <w:r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>Improving the energy performance through the development and implementation of best business practices, and</w:t>
      </w:r>
    </w:p>
    <w:p w14:paraId="52DF045D" w14:textId="77777777" w:rsidR="001E1919" w:rsidRPr="00622660" w:rsidRDefault="001E1919" w:rsidP="00606FB7">
      <w:pPr>
        <w:pStyle w:val="ListParagraph"/>
        <w:numPr>
          <w:ilvl w:val="0"/>
          <w:numId w:val="10"/>
        </w:numPr>
        <w:spacing w:after="120" w:line="254" w:lineRule="exact"/>
        <w:jc w:val="both"/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</w:pPr>
      <w:r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>The economic design of new rigs and buildings with high energy efficiency.</w:t>
      </w:r>
    </w:p>
    <w:p w14:paraId="50B73D06" w14:textId="5781E2F2" w:rsidR="001E1919" w:rsidRPr="00622660" w:rsidRDefault="001E1919" w:rsidP="00851639">
      <w:pPr>
        <w:spacing w:after="120" w:line="254" w:lineRule="exact"/>
        <w:jc w:val="both"/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</w:pPr>
      <w:r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 xml:space="preserve">To achieve the goal of sustainable energy management system, the management structure of the Company has a leading role in promotion, </w:t>
      </w:r>
      <w:r w:rsidR="00622660"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>development,</w:t>
      </w:r>
      <w:r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 xml:space="preserve"> and application of the following principles of energy management:</w:t>
      </w:r>
    </w:p>
    <w:p w14:paraId="20ACF5D5" w14:textId="7E688A2B" w:rsidR="001E1919" w:rsidRPr="00622660" w:rsidRDefault="001E1919" w:rsidP="00622660">
      <w:pPr>
        <w:pStyle w:val="ListParagraph"/>
        <w:widowControl/>
        <w:numPr>
          <w:ilvl w:val="0"/>
          <w:numId w:val="11"/>
        </w:numPr>
        <w:tabs>
          <w:tab w:val="left" w:pos="415"/>
        </w:tabs>
        <w:spacing w:after="120" w:line="259" w:lineRule="exact"/>
        <w:ind w:left="357" w:hanging="357"/>
        <w:jc w:val="both"/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</w:pPr>
      <w:r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 xml:space="preserve">In the long term, we are committed to develop and maintain energy system in the way of continuous improvement and learning by using new, more energy-efficient technologies, processes, tools and </w:t>
      </w:r>
      <w:r w:rsidR="00622660"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>equipment.</w:t>
      </w:r>
    </w:p>
    <w:p w14:paraId="265FC060" w14:textId="57C9E7F1" w:rsidR="001E1919" w:rsidRPr="00622660" w:rsidRDefault="001E1919" w:rsidP="00622660">
      <w:pPr>
        <w:pStyle w:val="ListParagraph"/>
        <w:widowControl/>
        <w:numPr>
          <w:ilvl w:val="0"/>
          <w:numId w:val="11"/>
        </w:numPr>
        <w:tabs>
          <w:tab w:val="left" w:pos="415"/>
        </w:tabs>
        <w:spacing w:after="120" w:line="259" w:lineRule="exact"/>
        <w:ind w:left="357" w:hanging="357"/>
        <w:jc w:val="both"/>
        <w:rPr>
          <w:rFonts w:ascii="Arial" w:hAnsi="Arial" w:cs="Arial"/>
          <w:color w:val="244061" w:themeColor="accent1" w:themeShade="80"/>
          <w:kern w:val="2"/>
          <w:sz w:val="21"/>
          <w:szCs w:val="21"/>
          <w14:ligatures w14:val="standardContextual"/>
        </w:rPr>
      </w:pPr>
      <w:r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 xml:space="preserve">We are developing energy awareness and energy acceptable behavior and culture in which the best business practice will be created, </w:t>
      </w:r>
      <w:r w:rsidR="00622660"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>exchanged,</w:t>
      </w:r>
      <w:r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 xml:space="preserve"> and freely adopted, including the possibility of internal and external education and the implementation of employees' innovative proposals in order to improve energy </w:t>
      </w:r>
      <w:r w:rsidR="00622660"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>performance</w:t>
      </w:r>
      <w:r w:rsidR="00622660" w:rsidRPr="00622660">
        <w:rPr>
          <w:rFonts w:ascii="Arial" w:hAnsi="Arial" w:cs="Arial"/>
          <w:color w:val="244061" w:themeColor="accent1" w:themeShade="80"/>
          <w:kern w:val="2"/>
          <w:sz w:val="21"/>
          <w:szCs w:val="21"/>
          <w14:ligatures w14:val="standardContextual"/>
        </w:rPr>
        <w:t>.</w:t>
      </w:r>
    </w:p>
    <w:p w14:paraId="4263EE1A" w14:textId="1A37BBF4" w:rsidR="001E1919" w:rsidRPr="00622660" w:rsidRDefault="001E1919" w:rsidP="00622660">
      <w:pPr>
        <w:pStyle w:val="ListParagraph"/>
        <w:widowControl/>
        <w:numPr>
          <w:ilvl w:val="0"/>
          <w:numId w:val="11"/>
        </w:numPr>
        <w:tabs>
          <w:tab w:val="left" w:pos="415"/>
        </w:tabs>
        <w:spacing w:after="120" w:line="259" w:lineRule="exact"/>
        <w:ind w:left="357" w:hanging="357"/>
        <w:jc w:val="both"/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</w:pPr>
      <w:r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 xml:space="preserve">We ensure development and implementation of energy projects aimed at reducing energy losses, greenhouse gas emissions and environmental impact by aligning this system with other management systems in our </w:t>
      </w:r>
      <w:r w:rsidR="00622660"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>companies.</w:t>
      </w:r>
    </w:p>
    <w:p w14:paraId="0EB24360" w14:textId="1AFF15B2" w:rsidR="001E1919" w:rsidRPr="00622660" w:rsidRDefault="001E1919" w:rsidP="00622660">
      <w:pPr>
        <w:pStyle w:val="ListParagraph"/>
        <w:widowControl/>
        <w:numPr>
          <w:ilvl w:val="0"/>
          <w:numId w:val="11"/>
        </w:numPr>
        <w:tabs>
          <w:tab w:val="left" w:pos="415"/>
        </w:tabs>
        <w:spacing w:after="120" w:line="259" w:lineRule="exact"/>
        <w:ind w:left="357" w:hanging="357"/>
        <w:jc w:val="both"/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</w:pPr>
      <w:r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 xml:space="preserve">We carefully follow all requirements related to energy efficiency, energy consumption and greenhouse gas emissions and ensure compliance with applicable statutory and other requirements which the Company committed itself </w:t>
      </w:r>
      <w:r w:rsidR="00622660"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>to.</w:t>
      </w:r>
    </w:p>
    <w:p w14:paraId="67CF6AE0" w14:textId="0193864E" w:rsidR="001E1919" w:rsidRPr="00622660" w:rsidRDefault="001E1919" w:rsidP="00622660">
      <w:pPr>
        <w:pStyle w:val="ListParagraph"/>
        <w:widowControl/>
        <w:numPr>
          <w:ilvl w:val="0"/>
          <w:numId w:val="11"/>
        </w:numPr>
        <w:tabs>
          <w:tab w:val="left" w:pos="415"/>
        </w:tabs>
        <w:spacing w:after="120" w:line="259" w:lineRule="exact"/>
        <w:ind w:left="357" w:hanging="357"/>
        <w:jc w:val="both"/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</w:pPr>
      <w:r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 xml:space="preserve">We provide transparency and availability of data and resources for the achievement of general and specific objectives, internally publish the established objectives, information on the results achieved; we conduct an internal evaluation of energy management and provide feedback to the management and </w:t>
      </w:r>
      <w:r w:rsidR="00622660"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>employees.</w:t>
      </w:r>
    </w:p>
    <w:p w14:paraId="1B440BA3" w14:textId="316DF665" w:rsidR="001E1919" w:rsidRPr="00622660" w:rsidRDefault="001E1919" w:rsidP="00622660">
      <w:pPr>
        <w:pStyle w:val="ListParagraph"/>
        <w:widowControl/>
        <w:numPr>
          <w:ilvl w:val="0"/>
          <w:numId w:val="11"/>
        </w:numPr>
        <w:tabs>
          <w:tab w:val="left" w:pos="415"/>
        </w:tabs>
        <w:spacing w:after="120" w:line="259" w:lineRule="exact"/>
        <w:ind w:left="357" w:hanging="357"/>
        <w:jc w:val="both"/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</w:pPr>
      <w:r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 xml:space="preserve">We use internal and external benchmarks to identify opportunities for </w:t>
      </w:r>
      <w:r w:rsidR="00622660"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>improvement.</w:t>
      </w:r>
    </w:p>
    <w:p w14:paraId="1C7F3426" w14:textId="201FDDC1" w:rsidR="001E1919" w:rsidRPr="00622660" w:rsidRDefault="001E1919" w:rsidP="00622660">
      <w:pPr>
        <w:pStyle w:val="ListParagraph"/>
        <w:widowControl/>
        <w:numPr>
          <w:ilvl w:val="0"/>
          <w:numId w:val="11"/>
        </w:numPr>
        <w:tabs>
          <w:tab w:val="left" w:pos="415"/>
        </w:tabs>
        <w:spacing w:after="120" w:line="259" w:lineRule="exact"/>
        <w:ind w:left="357" w:hanging="357"/>
        <w:jc w:val="both"/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</w:pPr>
      <w:r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 xml:space="preserve">We maintain communication in the management of energy </w:t>
      </w:r>
      <w:r w:rsidR="00622660"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>resources.</w:t>
      </w:r>
    </w:p>
    <w:p w14:paraId="570057AA" w14:textId="77777777" w:rsidR="001E1919" w:rsidRPr="00622660" w:rsidRDefault="001E1919" w:rsidP="00622660">
      <w:pPr>
        <w:pStyle w:val="ListParagraph"/>
        <w:widowControl/>
        <w:numPr>
          <w:ilvl w:val="0"/>
          <w:numId w:val="11"/>
        </w:numPr>
        <w:tabs>
          <w:tab w:val="left" w:pos="415"/>
        </w:tabs>
        <w:spacing w:after="120" w:line="259" w:lineRule="exact"/>
        <w:ind w:left="357" w:hanging="357"/>
        <w:jc w:val="both"/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</w:pPr>
      <w:r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>We cooperate and share our experience in energy management with all INA Group companies.</w:t>
      </w:r>
    </w:p>
    <w:p w14:paraId="7989F607" w14:textId="24AFA96A" w:rsidR="00EA759B" w:rsidRPr="00622660" w:rsidRDefault="001E1919" w:rsidP="00622660">
      <w:pPr>
        <w:pStyle w:val="BodyText"/>
        <w:tabs>
          <w:tab w:val="left" w:pos="7835"/>
        </w:tabs>
        <w:spacing w:after="120" w:line="254" w:lineRule="exact"/>
        <w:ind w:left="0" w:firstLine="0"/>
        <w:jc w:val="both"/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</w:pPr>
      <w:r w:rsidRPr="00622660">
        <w:rPr>
          <w:rStyle w:val="Bodytext2Spacing0pt"/>
          <w:rFonts w:ascii="Arial" w:hAnsi="Arial" w:cs="Arial"/>
          <w:color w:val="365F91" w:themeColor="accent1" w:themeShade="BF"/>
          <w:sz w:val="21"/>
          <w:szCs w:val="21"/>
          <w:lang w:val="en-US"/>
        </w:rPr>
        <w:t>Adherence to the principles of this Policy is the responsibility of all our employees and contracting partners. This Policy is available to all interested parties.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20"/>
      </w:tblGrid>
      <w:tr w:rsidR="00622660" w:rsidRPr="00617964" w14:paraId="62DBFCFD" w14:textId="77777777" w:rsidTr="006E7BCA">
        <w:trPr>
          <w:trHeight w:val="422"/>
        </w:trPr>
        <w:tc>
          <w:tcPr>
            <w:tcW w:w="6237" w:type="dxa"/>
          </w:tcPr>
          <w:p w14:paraId="376C35E3" w14:textId="607D8811" w:rsidR="00622660" w:rsidRPr="00617964" w:rsidRDefault="00622660" w:rsidP="006E7BCA">
            <w:pPr>
              <w:spacing w:before="120" w:line="257" w:lineRule="auto"/>
              <w:ind w:right="154"/>
              <w:jc w:val="both"/>
              <w:rPr>
                <w:rFonts w:ascii="Arial" w:eastAsia="Microsoft Sans Serif" w:hAnsi="Arial" w:cs="Arial"/>
                <w:color w:val="365F91" w:themeColor="accent1" w:themeShade="BF"/>
                <w:kern w:val="2"/>
                <w:sz w:val="21"/>
                <w:szCs w:val="21"/>
                <w:lang w:val="hr-HR" w:eastAsia="hr-HR" w:bidi="hr-HR"/>
                <w14:ligatures w14:val="standardContextual"/>
              </w:rPr>
            </w:pPr>
            <w:bookmarkStart w:id="0" w:name="_Hlk161754006"/>
            <w:r w:rsidRPr="00617964">
              <w:rPr>
                <w:rFonts w:ascii="Arial" w:eastAsia="Microsoft Sans Serif" w:hAnsi="Arial" w:cs="Arial"/>
                <w:color w:val="365F91" w:themeColor="accent1" w:themeShade="BF"/>
                <w:kern w:val="2"/>
                <w:sz w:val="21"/>
                <w:szCs w:val="21"/>
                <w:lang w:val="hr-HR" w:eastAsia="hr-HR" w:bidi="hr-HR"/>
                <w14:ligatures w14:val="standardContextual"/>
              </w:rPr>
              <w:t xml:space="preserve">Zagreb, </w:t>
            </w:r>
            <w:r w:rsidR="00E0619C">
              <w:rPr>
                <w:rFonts w:ascii="Arial" w:eastAsia="Microsoft Sans Serif" w:hAnsi="Arial" w:cs="Arial"/>
                <w:color w:val="365F91" w:themeColor="accent1" w:themeShade="BF"/>
                <w:kern w:val="2"/>
                <w:sz w:val="21"/>
                <w:szCs w:val="21"/>
                <w:lang w:val="hr-HR" w:eastAsia="hr-HR" w:bidi="hr-HR"/>
                <w14:ligatures w14:val="standardContextual"/>
              </w:rPr>
              <w:t>May</w:t>
            </w:r>
            <w:r w:rsidRPr="00617964">
              <w:rPr>
                <w:rFonts w:ascii="Arial" w:eastAsia="Microsoft Sans Serif" w:hAnsi="Arial" w:cs="Arial"/>
                <w:color w:val="365F91" w:themeColor="accent1" w:themeShade="BF"/>
                <w:kern w:val="2"/>
                <w:sz w:val="21"/>
                <w:szCs w:val="21"/>
                <w:lang w:val="hr-HR" w:eastAsia="hr-HR" w:bidi="hr-HR"/>
                <w14:ligatures w14:val="standardContextual"/>
              </w:rPr>
              <w:t xml:space="preserve"> 202</w:t>
            </w:r>
            <w:r w:rsidR="00E0619C">
              <w:rPr>
                <w:rFonts w:ascii="Arial" w:eastAsia="Microsoft Sans Serif" w:hAnsi="Arial" w:cs="Arial"/>
                <w:color w:val="365F91" w:themeColor="accent1" w:themeShade="BF"/>
                <w:kern w:val="2"/>
                <w:sz w:val="21"/>
                <w:szCs w:val="21"/>
                <w:lang w:val="hr-HR" w:eastAsia="hr-HR" w:bidi="hr-HR"/>
                <w14:ligatures w14:val="standardContextual"/>
              </w:rPr>
              <w:t>5</w:t>
            </w:r>
            <w:r w:rsidRPr="00617964">
              <w:rPr>
                <w:rFonts w:ascii="Arial" w:eastAsia="Microsoft Sans Serif" w:hAnsi="Arial" w:cs="Arial"/>
                <w:color w:val="365F91" w:themeColor="accent1" w:themeShade="BF"/>
                <w:kern w:val="2"/>
                <w:sz w:val="21"/>
                <w:szCs w:val="21"/>
                <w:lang w:val="hr-HR" w:eastAsia="hr-HR" w:bidi="hr-HR"/>
                <w14:ligatures w14:val="standardContextual"/>
              </w:rPr>
              <w:t>.</w:t>
            </w:r>
          </w:p>
        </w:tc>
        <w:tc>
          <w:tcPr>
            <w:tcW w:w="3520" w:type="dxa"/>
          </w:tcPr>
          <w:p w14:paraId="4D5C23F3" w14:textId="4B8F6079" w:rsidR="00622660" w:rsidRPr="00617964" w:rsidRDefault="00622660" w:rsidP="006E7BCA">
            <w:pPr>
              <w:spacing w:before="120" w:line="257" w:lineRule="auto"/>
              <w:ind w:right="154"/>
              <w:jc w:val="center"/>
              <w:rPr>
                <w:rFonts w:ascii="Arial" w:eastAsia="Microsoft Sans Serif" w:hAnsi="Arial" w:cs="Arial"/>
                <w:color w:val="365F91" w:themeColor="accent1" w:themeShade="BF"/>
                <w:kern w:val="2"/>
                <w:sz w:val="21"/>
                <w:szCs w:val="21"/>
                <w:lang w:val="hr-HR" w:eastAsia="hr-HR" w:bidi="hr-HR"/>
                <w14:ligatures w14:val="standardContextual"/>
              </w:rPr>
            </w:pPr>
            <w:r>
              <w:rPr>
                <w:rFonts w:ascii="Arial" w:eastAsia="Microsoft Sans Serif" w:hAnsi="Arial" w:cs="Arial"/>
                <w:color w:val="365F91" w:themeColor="accent1" w:themeShade="BF"/>
                <w:kern w:val="2"/>
                <w:sz w:val="21"/>
                <w:szCs w:val="21"/>
                <w:lang w:val="hr-HR" w:eastAsia="hr-HR" w:bidi="hr-HR"/>
                <w14:ligatures w14:val="standardContextual"/>
              </w:rPr>
              <w:t>Company Director</w:t>
            </w:r>
          </w:p>
        </w:tc>
      </w:tr>
      <w:tr w:rsidR="00622660" w:rsidRPr="00617964" w14:paraId="54D66841" w14:textId="77777777" w:rsidTr="00E0619C">
        <w:tc>
          <w:tcPr>
            <w:tcW w:w="6237" w:type="dxa"/>
          </w:tcPr>
          <w:p w14:paraId="2C855C57" w14:textId="77777777" w:rsidR="00622660" w:rsidRPr="00617964" w:rsidRDefault="00622660" w:rsidP="006E7BCA">
            <w:pPr>
              <w:spacing w:before="120" w:line="257" w:lineRule="auto"/>
              <w:ind w:right="154"/>
              <w:jc w:val="both"/>
              <w:rPr>
                <w:rFonts w:ascii="Arial" w:eastAsia="Microsoft Sans Serif" w:hAnsi="Arial" w:cs="Arial"/>
                <w:color w:val="365F91" w:themeColor="accent1" w:themeShade="BF"/>
                <w:kern w:val="2"/>
                <w:sz w:val="21"/>
                <w:szCs w:val="21"/>
                <w:lang w:val="hr-HR" w:eastAsia="hr-HR" w:bidi="hr-HR"/>
                <w14:ligatures w14:val="standardContextual"/>
              </w:rPr>
            </w:pPr>
            <w:r w:rsidRPr="00617964">
              <w:rPr>
                <w:rFonts w:ascii="Arial" w:eastAsia="Arial" w:hAnsi="Arial"/>
                <w:noProof/>
                <w:color w:val="365F91" w:themeColor="accent1" w:themeShade="BF"/>
                <w:sz w:val="21"/>
                <w:szCs w:val="21"/>
              </w:rPr>
              <w:drawing>
                <wp:inline distT="0" distB="0" distL="0" distR="0" wp14:anchorId="406A6C6A" wp14:editId="4DCE0070">
                  <wp:extent cx="1104900" cy="3975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0" w:type="dxa"/>
            <w:vAlign w:val="center"/>
          </w:tcPr>
          <w:p w14:paraId="133434B3" w14:textId="58BC16DB" w:rsidR="00622660" w:rsidRPr="00617964" w:rsidRDefault="00E0619C" w:rsidP="006E7BCA">
            <w:pPr>
              <w:spacing w:before="120"/>
              <w:ind w:right="15"/>
              <w:jc w:val="center"/>
              <w:rPr>
                <w:rFonts w:ascii="Arial" w:eastAsia="Microsoft Sans Serif" w:hAnsi="Arial" w:cs="Arial"/>
                <w:color w:val="365F91" w:themeColor="accent1" w:themeShade="BF"/>
                <w:kern w:val="2"/>
                <w:sz w:val="21"/>
                <w:szCs w:val="21"/>
                <w:lang w:val="hr-HR" w:eastAsia="hr-HR" w:bidi="hr-HR"/>
                <w14:ligatures w14:val="standardContextual"/>
              </w:rPr>
            </w:pPr>
            <w:r w:rsidRPr="00E0619C">
              <w:rPr>
                <w:rFonts w:ascii="Arial" w:eastAsia="Microsoft Sans Serif" w:hAnsi="Arial" w:cs="Arial"/>
                <w:color w:val="365F91" w:themeColor="accent1" w:themeShade="BF"/>
                <w:kern w:val="2"/>
                <w:sz w:val="21"/>
                <w:szCs w:val="21"/>
                <w:lang w:val="hr-HR" w:eastAsia="hr-HR" w:bidi="hr-HR"/>
                <w14:ligatures w14:val="standardContextual"/>
              </w:rPr>
              <w:t>Gábor Darab</w:t>
            </w:r>
          </w:p>
        </w:tc>
      </w:tr>
      <w:bookmarkEnd w:id="0"/>
    </w:tbl>
    <w:p w14:paraId="2B30DB4C" w14:textId="6609C487" w:rsidR="006A6D28" w:rsidRPr="00622660" w:rsidRDefault="006A6D28" w:rsidP="00622660">
      <w:pPr>
        <w:pStyle w:val="BodyText"/>
        <w:tabs>
          <w:tab w:val="left" w:pos="7835"/>
        </w:tabs>
        <w:ind w:hanging="132"/>
        <w:rPr>
          <w:rStyle w:val="Bodytext2Spacing0pt"/>
          <w:rFonts w:ascii="Arial" w:hAnsi="Arial" w:cs="Arial"/>
          <w:color w:val="365F91" w:themeColor="accent1" w:themeShade="BF"/>
          <w:sz w:val="10"/>
          <w:szCs w:val="10"/>
          <w:lang w:val="en-US"/>
        </w:rPr>
      </w:pPr>
    </w:p>
    <w:sectPr w:rsidR="006A6D28" w:rsidRPr="00622660" w:rsidSect="001304C5">
      <w:type w:val="continuous"/>
      <w:pgSz w:w="11904" w:h="16840"/>
      <w:pgMar w:top="568" w:right="980" w:bottom="0" w:left="1020" w:header="720" w:footer="720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17BA9" w14:textId="77777777" w:rsidR="00701EA2" w:rsidRDefault="00701EA2" w:rsidP="00DE29E0">
      <w:r>
        <w:separator/>
      </w:r>
    </w:p>
  </w:endnote>
  <w:endnote w:type="continuationSeparator" w:id="0">
    <w:p w14:paraId="58D80D42" w14:textId="77777777" w:rsidR="00701EA2" w:rsidRDefault="00701EA2" w:rsidP="00DE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FE399" w14:textId="77777777" w:rsidR="00701EA2" w:rsidRDefault="00701EA2" w:rsidP="00DE29E0">
      <w:r>
        <w:separator/>
      </w:r>
    </w:p>
  </w:footnote>
  <w:footnote w:type="continuationSeparator" w:id="0">
    <w:p w14:paraId="72932EE8" w14:textId="77777777" w:rsidR="00701EA2" w:rsidRDefault="00701EA2" w:rsidP="00DE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92D57"/>
    <w:multiLevelType w:val="multilevel"/>
    <w:tmpl w:val="1FA20858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30BE"/>
    <w:multiLevelType w:val="hybridMultilevel"/>
    <w:tmpl w:val="3182D1FA"/>
    <w:lvl w:ilvl="0" w:tplc="1B54E604">
      <w:start w:val="1"/>
      <w:numFmt w:val="bullet"/>
      <w:lvlText w:val="•"/>
      <w:lvlJc w:val="left"/>
      <w:pPr>
        <w:ind w:hanging="322"/>
      </w:pPr>
      <w:rPr>
        <w:rFonts w:ascii="Arial" w:eastAsia="Arial" w:hAnsi="Arial" w:hint="default"/>
        <w:color w:val="3965B2"/>
        <w:w w:val="145"/>
        <w:sz w:val="21"/>
        <w:szCs w:val="21"/>
      </w:rPr>
    </w:lvl>
    <w:lvl w:ilvl="1" w:tplc="DE4224E6">
      <w:start w:val="1"/>
      <w:numFmt w:val="bullet"/>
      <w:lvlText w:val="•"/>
      <w:lvlJc w:val="left"/>
      <w:rPr>
        <w:rFonts w:hint="default"/>
      </w:rPr>
    </w:lvl>
    <w:lvl w:ilvl="2" w:tplc="CEECD106">
      <w:start w:val="1"/>
      <w:numFmt w:val="bullet"/>
      <w:lvlText w:val="•"/>
      <w:lvlJc w:val="left"/>
      <w:rPr>
        <w:rFonts w:hint="default"/>
      </w:rPr>
    </w:lvl>
    <w:lvl w:ilvl="3" w:tplc="59F219FA">
      <w:start w:val="1"/>
      <w:numFmt w:val="bullet"/>
      <w:lvlText w:val="•"/>
      <w:lvlJc w:val="left"/>
      <w:rPr>
        <w:rFonts w:hint="default"/>
      </w:rPr>
    </w:lvl>
    <w:lvl w:ilvl="4" w:tplc="D702F152">
      <w:start w:val="1"/>
      <w:numFmt w:val="bullet"/>
      <w:lvlText w:val="•"/>
      <w:lvlJc w:val="left"/>
      <w:rPr>
        <w:rFonts w:hint="default"/>
      </w:rPr>
    </w:lvl>
    <w:lvl w:ilvl="5" w:tplc="6E902664">
      <w:start w:val="1"/>
      <w:numFmt w:val="bullet"/>
      <w:lvlText w:val="•"/>
      <w:lvlJc w:val="left"/>
      <w:rPr>
        <w:rFonts w:hint="default"/>
      </w:rPr>
    </w:lvl>
    <w:lvl w:ilvl="6" w:tplc="2116A27C">
      <w:start w:val="1"/>
      <w:numFmt w:val="bullet"/>
      <w:lvlText w:val="•"/>
      <w:lvlJc w:val="left"/>
      <w:rPr>
        <w:rFonts w:hint="default"/>
      </w:rPr>
    </w:lvl>
    <w:lvl w:ilvl="7" w:tplc="E11452B6">
      <w:start w:val="1"/>
      <w:numFmt w:val="bullet"/>
      <w:lvlText w:val="•"/>
      <w:lvlJc w:val="left"/>
      <w:rPr>
        <w:rFonts w:hint="default"/>
      </w:rPr>
    </w:lvl>
    <w:lvl w:ilvl="8" w:tplc="7CB81AF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D254810"/>
    <w:multiLevelType w:val="hybridMultilevel"/>
    <w:tmpl w:val="FEE2F010"/>
    <w:lvl w:ilvl="0" w:tplc="041A0011">
      <w:start w:val="1"/>
      <w:numFmt w:val="decimal"/>
      <w:lvlText w:val="%1)"/>
      <w:lvlJc w:val="left"/>
      <w:pPr>
        <w:ind w:left="1060" w:hanging="360"/>
      </w:pPr>
    </w:lvl>
    <w:lvl w:ilvl="1" w:tplc="041A0019" w:tentative="1">
      <w:start w:val="1"/>
      <w:numFmt w:val="lowerLetter"/>
      <w:lvlText w:val="%2."/>
      <w:lvlJc w:val="left"/>
      <w:pPr>
        <w:ind w:left="1780" w:hanging="360"/>
      </w:pPr>
    </w:lvl>
    <w:lvl w:ilvl="2" w:tplc="041A001B" w:tentative="1">
      <w:start w:val="1"/>
      <w:numFmt w:val="lowerRoman"/>
      <w:lvlText w:val="%3."/>
      <w:lvlJc w:val="right"/>
      <w:pPr>
        <w:ind w:left="2500" w:hanging="180"/>
      </w:pPr>
    </w:lvl>
    <w:lvl w:ilvl="3" w:tplc="041A000F" w:tentative="1">
      <w:start w:val="1"/>
      <w:numFmt w:val="decimal"/>
      <w:lvlText w:val="%4."/>
      <w:lvlJc w:val="left"/>
      <w:pPr>
        <w:ind w:left="3220" w:hanging="360"/>
      </w:pPr>
    </w:lvl>
    <w:lvl w:ilvl="4" w:tplc="041A0019" w:tentative="1">
      <w:start w:val="1"/>
      <w:numFmt w:val="lowerLetter"/>
      <w:lvlText w:val="%5."/>
      <w:lvlJc w:val="left"/>
      <w:pPr>
        <w:ind w:left="3940" w:hanging="360"/>
      </w:pPr>
    </w:lvl>
    <w:lvl w:ilvl="5" w:tplc="041A001B" w:tentative="1">
      <w:start w:val="1"/>
      <w:numFmt w:val="lowerRoman"/>
      <w:lvlText w:val="%6."/>
      <w:lvlJc w:val="right"/>
      <w:pPr>
        <w:ind w:left="4660" w:hanging="180"/>
      </w:pPr>
    </w:lvl>
    <w:lvl w:ilvl="6" w:tplc="041A000F" w:tentative="1">
      <w:start w:val="1"/>
      <w:numFmt w:val="decimal"/>
      <w:lvlText w:val="%7."/>
      <w:lvlJc w:val="left"/>
      <w:pPr>
        <w:ind w:left="5380" w:hanging="360"/>
      </w:pPr>
    </w:lvl>
    <w:lvl w:ilvl="7" w:tplc="041A0019" w:tentative="1">
      <w:start w:val="1"/>
      <w:numFmt w:val="lowerLetter"/>
      <w:lvlText w:val="%8."/>
      <w:lvlJc w:val="left"/>
      <w:pPr>
        <w:ind w:left="6100" w:hanging="360"/>
      </w:pPr>
    </w:lvl>
    <w:lvl w:ilvl="8" w:tplc="041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6C6331C"/>
    <w:multiLevelType w:val="hybridMultilevel"/>
    <w:tmpl w:val="F3CEB118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AA4D86"/>
    <w:multiLevelType w:val="multilevel"/>
    <w:tmpl w:val="8574477E"/>
    <w:lvl w:ilvl="0">
      <w:start w:val="2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045BB5"/>
    <w:multiLevelType w:val="multilevel"/>
    <w:tmpl w:val="CEF40360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3E3A49"/>
    <w:multiLevelType w:val="hybridMultilevel"/>
    <w:tmpl w:val="A70267C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45621"/>
    <w:multiLevelType w:val="hybridMultilevel"/>
    <w:tmpl w:val="FFCAA3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021391"/>
    <w:multiLevelType w:val="multilevel"/>
    <w:tmpl w:val="A7723754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1549F5"/>
    <w:multiLevelType w:val="hybridMultilevel"/>
    <w:tmpl w:val="E05CBE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72A39"/>
    <w:multiLevelType w:val="multilevel"/>
    <w:tmpl w:val="27CE8C82"/>
    <w:lvl w:ilvl="0">
      <w:start w:val="1"/>
      <w:numFmt w:val="decimal"/>
      <w:lvlText w:val="%1]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0274500">
    <w:abstractNumId w:val="1"/>
  </w:num>
  <w:num w:numId="2" w16cid:durableId="1855417255">
    <w:abstractNumId w:val="5"/>
  </w:num>
  <w:num w:numId="3" w16cid:durableId="986281655">
    <w:abstractNumId w:val="8"/>
  </w:num>
  <w:num w:numId="4" w16cid:durableId="1719236251">
    <w:abstractNumId w:val="6"/>
  </w:num>
  <w:num w:numId="5" w16cid:durableId="23528153">
    <w:abstractNumId w:val="9"/>
  </w:num>
  <w:num w:numId="6" w16cid:durableId="960376632">
    <w:abstractNumId w:val="10"/>
  </w:num>
  <w:num w:numId="7" w16cid:durableId="924343514">
    <w:abstractNumId w:val="4"/>
  </w:num>
  <w:num w:numId="8" w16cid:durableId="1527403348">
    <w:abstractNumId w:val="0"/>
  </w:num>
  <w:num w:numId="9" w16cid:durableId="235828035">
    <w:abstractNumId w:val="2"/>
  </w:num>
  <w:num w:numId="10" w16cid:durableId="1742633719">
    <w:abstractNumId w:val="3"/>
  </w:num>
  <w:num w:numId="11" w16cid:durableId="1821724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28"/>
    <w:rsid w:val="000A0AF6"/>
    <w:rsid w:val="000D63E2"/>
    <w:rsid w:val="000F7113"/>
    <w:rsid w:val="001304C5"/>
    <w:rsid w:val="001636B9"/>
    <w:rsid w:val="00172231"/>
    <w:rsid w:val="001A3068"/>
    <w:rsid w:val="001A624D"/>
    <w:rsid w:val="001E1919"/>
    <w:rsid w:val="00213FE8"/>
    <w:rsid w:val="00234A35"/>
    <w:rsid w:val="002C0F5A"/>
    <w:rsid w:val="002E5D92"/>
    <w:rsid w:val="002F0761"/>
    <w:rsid w:val="002F53E8"/>
    <w:rsid w:val="002F7FE9"/>
    <w:rsid w:val="00320501"/>
    <w:rsid w:val="0037253A"/>
    <w:rsid w:val="003D64F8"/>
    <w:rsid w:val="003F305A"/>
    <w:rsid w:val="00435F9B"/>
    <w:rsid w:val="00466CF7"/>
    <w:rsid w:val="005562F7"/>
    <w:rsid w:val="00606FB7"/>
    <w:rsid w:val="00612C41"/>
    <w:rsid w:val="00622660"/>
    <w:rsid w:val="00642ED9"/>
    <w:rsid w:val="00697EAF"/>
    <w:rsid w:val="006A6D28"/>
    <w:rsid w:val="006B600F"/>
    <w:rsid w:val="006B7194"/>
    <w:rsid w:val="00701EA2"/>
    <w:rsid w:val="00726360"/>
    <w:rsid w:val="00734175"/>
    <w:rsid w:val="007838EB"/>
    <w:rsid w:val="007A28BE"/>
    <w:rsid w:val="00827614"/>
    <w:rsid w:val="00851639"/>
    <w:rsid w:val="008A4BFF"/>
    <w:rsid w:val="008C3ED2"/>
    <w:rsid w:val="00970BD7"/>
    <w:rsid w:val="009F6F7F"/>
    <w:rsid w:val="00A033EE"/>
    <w:rsid w:val="00A0792F"/>
    <w:rsid w:val="00A7591E"/>
    <w:rsid w:val="00B133AA"/>
    <w:rsid w:val="00B14DBB"/>
    <w:rsid w:val="00B41C8B"/>
    <w:rsid w:val="00B74985"/>
    <w:rsid w:val="00B75A1C"/>
    <w:rsid w:val="00BE10AC"/>
    <w:rsid w:val="00BE6D9B"/>
    <w:rsid w:val="00BF5373"/>
    <w:rsid w:val="00BF6BD6"/>
    <w:rsid w:val="00C1113F"/>
    <w:rsid w:val="00C304AB"/>
    <w:rsid w:val="00C611F3"/>
    <w:rsid w:val="00C9612C"/>
    <w:rsid w:val="00CD7F7A"/>
    <w:rsid w:val="00CE5C1A"/>
    <w:rsid w:val="00CF234D"/>
    <w:rsid w:val="00D42E5C"/>
    <w:rsid w:val="00DA37E4"/>
    <w:rsid w:val="00DE29E0"/>
    <w:rsid w:val="00E0619C"/>
    <w:rsid w:val="00E45675"/>
    <w:rsid w:val="00E81B8C"/>
    <w:rsid w:val="00EA759B"/>
    <w:rsid w:val="00F422FB"/>
    <w:rsid w:val="00F516B5"/>
    <w:rsid w:val="00F92C1A"/>
    <w:rsid w:val="00FD3A24"/>
    <w:rsid w:val="00FE5A05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F0DB"/>
  <w15:docId w15:val="{7F2C15E6-BEB8-4C16-813A-574B67C2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2" w:hanging="332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A0AF6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DE29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9E0"/>
  </w:style>
  <w:style w:type="paragraph" w:styleId="Footer">
    <w:name w:val="footer"/>
    <w:basedOn w:val="Normal"/>
    <w:link w:val="FooterChar"/>
    <w:uiPriority w:val="99"/>
    <w:unhideWhenUsed/>
    <w:rsid w:val="00DE29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9E0"/>
  </w:style>
  <w:style w:type="character" w:customStyle="1" w:styleId="Picturecaption4Exact">
    <w:name w:val="Picture caption (4) Exact"/>
    <w:link w:val="Picturecaption4"/>
    <w:rsid w:val="00A0792F"/>
    <w:rPr>
      <w:rFonts w:ascii="Calibri" w:eastAsia="Calibri" w:hAnsi="Calibri" w:cs="Calibri"/>
      <w:b/>
      <w:bCs/>
      <w:spacing w:val="-10"/>
      <w:sz w:val="46"/>
      <w:szCs w:val="46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A0792F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10"/>
      <w:sz w:val="46"/>
      <w:szCs w:val="46"/>
    </w:rPr>
  </w:style>
  <w:style w:type="character" w:customStyle="1" w:styleId="Bodytext2">
    <w:name w:val="Body text (2)_"/>
    <w:link w:val="Bodytext20"/>
    <w:rsid w:val="001E1919"/>
    <w:rPr>
      <w:spacing w:val="-10"/>
      <w:sz w:val="19"/>
      <w:szCs w:val="19"/>
      <w:shd w:val="clear" w:color="auto" w:fill="FFFFFF"/>
      <w:lang w:bidi="en-US"/>
    </w:rPr>
  </w:style>
  <w:style w:type="character" w:customStyle="1" w:styleId="Bodytext2Spacing0pt">
    <w:name w:val="Body text (2) + Spacing 0 pt"/>
    <w:rsid w:val="001E191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1E1919"/>
    <w:pPr>
      <w:shd w:val="clear" w:color="auto" w:fill="FFFFFF"/>
      <w:spacing w:before="360" w:after="180" w:line="240" w:lineRule="exact"/>
      <w:ind w:hanging="300"/>
      <w:jc w:val="both"/>
    </w:pPr>
    <w:rPr>
      <w:spacing w:val="-10"/>
      <w:sz w:val="19"/>
      <w:szCs w:val="19"/>
      <w:lang w:bidi="en-US"/>
    </w:rPr>
  </w:style>
  <w:style w:type="table" w:styleId="TableGrid">
    <w:name w:val="Table Grid"/>
    <w:basedOn w:val="TableNormal"/>
    <w:uiPriority w:val="39"/>
    <w:rsid w:val="0062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Šestić Davorin (CROSCO d.o.o.)</dc:creator>
  <cp:lastModifiedBy>Šestić Davorin (CROSCO d.o.o.)</cp:lastModifiedBy>
  <cp:revision>37</cp:revision>
  <cp:lastPrinted>2024-03-18T08:19:00Z</cp:lastPrinted>
  <dcterms:created xsi:type="dcterms:W3CDTF">2024-03-18T08:15:00Z</dcterms:created>
  <dcterms:modified xsi:type="dcterms:W3CDTF">2025-05-19T07:42:00Z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LastSaved">
    <vt:filetime>2018-03-21T00:00:00Z</vt:filetime>
  </property>
</Properties>
</file>